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baseline"/>
        <w:rPr>
          <w:rFonts w:hint="eastAsia" w:ascii="仿宋_GB2312" w:hAnsi="仿宋_GB2312" w:eastAsia="仿宋_GB2312" w:cs="仿宋_GB2312"/>
          <w:b/>
          <w:bCs/>
          <w:kern w:val="0"/>
          <w:sz w:val="32"/>
          <w:szCs w:val="32"/>
          <w:lang w:val="en-US" w:eastAsia="zh-CN" w:bidi="ar"/>
        </w:rPr>
      </w:pPr>
      <w:r>
        <w:rPr>
          <w:rFonts w:hint="eastAsia" w:ascii="方正小标宋简体" w:hAnsi="方正小标宋简体" w:eastAsia="方正小标宋简体" w:cs="方正小标宋简体"/>
          <w:b/>
          <w:bCs/>
          <w:color w:val="auto"/>
          <w:kern w:val="2"/>
          <w:sz w:val="44"/>
          <w:szCs w:val="44"/>
          <w:u w:val="none"/>
          <w:lang w:val="en-US" w:eastAsia="zh-CN" w:bidi="ar-SA"/>
        </w:rPr>
        <w:t>2023年武陟县经济运行情况简析</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firstLine="640" w:firstLineChars="200"/>
        <w:jc w:val="both"/>
        <w:textAlignment w:val="auto"/>
        <w:rPr>
          <w:rFonts w:hint="eastAsia" w:ascii="黑体" w:hAnsi="黑体" w:eastAsia="黑体" w:cs="黑体"/>
          <w:b w:val="0"/>
          <w:bCs w:val="0"/>
          <w:i w:val="0"/>
          <w:iCs w:val="0"/>
          <w:caps w:val="0"/>
          <w:color w:val="auto"/>
          <w:spacing w:val="0"/>
          <w:sz w:val="32"/>
          <w:szCs w:val="32"/>
          <w:highlight w:val="none"/>
          <w:u w:val="none"/>
        </w:rPr>
      </w:pPr>
      <w:bookmarkStart w:id="0" w:name="_GoBack"/>
      <w:bookmarkEnd w:id="0"/>
      <w:r>
        <w:rPr>
          <w:rFonts w:hint="eastAsia" w:ascii="仿宋_GB2312" w:hAnsi="仿宋_GB2312" w:eastAsia="仿宋_GB2312" w:cs="仿宋_GB2312"/>
          <w:b w:val="0"/>
          <w:bCs w:val="0"/>
          <w:color w:val="auto"/>
          <w:kern w:val="2"/>
          <w:sz w:val="32"/>
          <w:szCs w:val="32"/>
          <w:highlight w:val="none"/>
          <w:u w:val="none"/>
          <w:lang w:val="en-US" w:eastAsia="zh-CN" w:bidi="ar-SA"/>
        </w:rPr>
        <w:t>今年以来，在县委、县政府的正确领导下，全县上下紧紧围绕高质量发展工作目标，坚持稳中求进工作总基调，全力以赴拼经济，纲举目张抓工作，经济社会发展稳步恢复,呈现回升向好态势。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黑体" w:hAnsi="黑体" w:eastAsia="黑体" w:cs="黑体"/>
          <w:b/>
          <w:bCs/>
          <w:i w:val="0"/>
          <w:iCs w:val="0"/>
          <w:caps w:val="0"/>
          <w:color w:val="auto"/>
          <w:spacing w:val="0"/>
          <w:sz w:val="32"/>
          <w:szCs w:val="32"/>
          <w:shd w:val="clear" w:fill="FFFFFF"/>
          <w:vertAlign w:val="baseline"/>
        </w:rPr>
      </w:pPr>
      <w:r>
        <w:rPr>
          <w:rFonts w:hint="eastAsia" w:ascii="黑体" w:hAnsi="黑体" w:eastAsia="黑体" w:cs="黑体"/>
          <w:b/>
          <w:bCs/>
          <w:i w:val="0"/>
          <w:iCs w:val="0"/>
          <w:caps w:val="0"/>
          <w:color w:val="auto"/>
          <w:spacing w:val="0"/>
          <w:sz w:val="32"/>
          <w:szCs w:val="32"/>
          <w:shd w:val="clear" w:fill="FFFFFF"/>
          <w:vertAlign w:val="baseline"/>
        </w:rPr>
        <w:t>一、</w:t>
      </w:r>
      <w:r>
        <w:rPr>
          <w:rFonts w:hint="eastAsia" w:ascii="黑体" w:hAnsi="黑体" w:eastAsia="黑体" w:cs="黑体"/>
          <w:b/>
          <w:bCs/>
          <w:i w:val="0"/>
          <w:iCs w:val="0"/>
          <w:caps w:val="0"/>
          <w:color w:val="auto"/>
          <w:spacing w:val="0"/>
          <w:sz w:val="32"/>
          <w:szCs w:val="32"/>
          <w:shd w:val="clear" w:fill="FFFFFF"/>
          <w:vertAlign w:val="baseline"/>
          <w:lang w:eastAsia="zh-CN"/>
        </w:rPr>
        <w:t>主要经济指标情况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(一)季度指标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bCs/>
          <w:color w:val="auto"/>
          <w:sz w:val="32"/>
          <w:szCs w:val="32"/>
          <w:u w:val="none"/>
          <w:lang w:val="en-US" w:eastAsia="zh-CN"/>
        </w:rPr>
        <w:t>地区生产总值</w:t>
      </w:r>
      <w:r>
        <w:rPr>
          <w:rFonts w:hint="eastAsia" w:ascii="仿宋_GB2312" w:hAnsi="仿宋_GB2312" w:eastAsia="仿宋_GB2312" w:cs="仿宋_GB2312"/>
          <w:b w:val="0"/>
          <w:bCs w:val="0"/>
          <w:color w:val="auto"/>
          <w:sz w:val="32"/>
          <w:szCs w:val="32"/>
          <w:u w:val="none"/>
          <w:lang w:val="en-US" w:eastAsia="zh-CN"/>
        </w:rPr>
        <w:t>：2023年，全县地区生产总值340.6亿元，同比增长5.7%，全市第1位，分别高于全国、全省、全市0.5、1.6、1.8个百分点。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bCs/>
          <w:color w:val="auto"/>
          <w:sz w:val="32"/>
          <w:szCs w:val="32"/>
          <w:u w:val="none"/>
          <w:lang w:val="en-US" w:eastAsia="zh-CN"/>
        </w:rPr>
        <w:t>居民人均可支配收入</w:t>
      </w:r>
      <w:r>
        <w:rPr>
          <w:rFonts w:hint="eastAsia" w:ascii="仿宋_GB2312" w:hAnsi="仿宋_GB2312" w:eastAsia="仿宋_GB2312" w:cs="仿宋_GB2312"/>
          <w:b w:val="0"/>
          <w:bCs w:val="0"/>
          <w:color w:val="auto"/>
          <w:sz w:val="32"/>
          <w:szCs w:val="32"/>
          <w:u w:val="none"/>
          <w:lang w:val="en-US" w:eastAsia="zh-CN"/>
        </w:rPr>
        <w:t>：2023年，居民人均可支配收入实现31058.8元，同比增长6.8%，全市第1位，分别高于全国、全省、全市0.5、0.7、0.6个百分点。其中，城镇居民人均可支配收入38130.6元，同比增长5.2%，全市第3位；农村居民人均可支配收入25258.8元，同比增长7.0%，全市第2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（二）月度指标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w:t>
      </w:r>
      <w:r>
        <w:rPr>
          <w:rFonts w:hint="eastAsia" w:ascii="仿宋_GB2312" w:hAnsi="仿宋_GB2312" w:eastAsia="仿宋_GB2312" w:cs="仿宋_GB2312"/>
          <w:b/>
          <w:bCs/>
          <w:color w:val="auto"/>
          <w:sz w:val="32"/>
          <w:szCs w:val="32"/>
          <w:highlight w:val="none"/>
          <w:u w:val="none"/>
          <w:lang w:val="en-US" w:eastAsia="zh-CN"/>
        </w:rPr>
        <w:t>规上工业增加值</w:t>
      </w:r>
      <w:r>
        <w:rPr>
          <w:rFonts w:hint="eastAsia" w:ascii="仿宋_GB2312" w:hAnsi="仿宋_GB2312" w:eastAsia="仿宋_GB2312" w:cs="仿宋_GB2312"/>
          <w:b w:val="0"/>
          <w:bCs w:val="0"/>
          <w:color w:val="auto"/>
          <w:sz w:val="32"/>
          <w:szCs w:val="32"/>
          <w:highlight w:val="none"/>
          <w:u w:val="none"/>
          <w:lang w:val="en-US" w:eastAsia="zh-CN"/>
        </w:rPr>
        <w:t>：2023年，全县规模以上工业企业总产值271.7亿元，实现增加值53.2亿元，同比增长9.9%，分别高于全国、全省、全市5.3、4.9、2.3百分点，全市第4位。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w:t>
      </w:r>
      <w:r>
        <w:rPr>
          <w:rFonts w:hint="eastAsia" w:ascii="仿宋_GB2312" w:hAnsi="仿宋_GB2312" w:eastAsia="仿宋_GB2312" w:cs="仿宋_GB2312"/>
          <w:b/>
          <w:bCs/>
          <w:color w:val="auto"/>
          <w:sz w:val="32"/>
          <w:szCs w:val="32"/>
          <w:highlight w:val="none"/>
          <w:u w:val="none"/>
          <w:lang w:val="en-US" w:eastAsia="zh-CN"/>
        </w:rPr>
        <w:t>固定资产投资</w:t>
      </w:r>
      <w:r>
        <w:rPr>
          <w:rFonts w:hint="eastAsia" w:ascii="仿宋_GB2312" w:hAnsi="仿宋_GB2312" w:eastAsia="仿宋_GB2312" w:cs="仿宋_GB2312"/>
          <w:b w:val="0"/>
          <w:bCs w:val="0"/>
          <w:color w:val="auto"/>
          <w:sz w:val="32"/>
          <w:szCs w:val="32"/>
          <w:highlight w:val="none"/>
          <w:u w:val="none"/>
          <w:lang w:val="en-US" w:eastAsia="zh-CN"/>
        </w:rPr>
        <w:t>：2023年，全县固定资产投资累计完成43.8亿元，同比增长12.4%，分别高于全国、全市9.4、5.0个百分点，全市第2位。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lang w:val="en-US" w:eastAsia="zh-CN"/>
        </w:rPr>
        <w:t>社会消费品零售总额</w:t>
      </w:r>
      <w:r>
        <w:rPr>
          <w:rFonts w:hint="eastAsia" w:ascii="仿宋_GB2312" w:hAnsi="仿宋_GB2312" w:eastAsia="仿宋_GB2312" w:cs="仿宋_GB2312"/>
          <w:b w:val="0"/>
          <w:bCs w:val="0"/>
          <w:color w:val="auto"/>
          <w:sz w:val="32"/>
          <w:szCs w:val="32"/>
          <w:highlight w:val="none"/>
          <w:u w:val="none"/>
          <w:lang w:val="en-US" w:eastAsia="zh-CN"/>
        </w:rPr>
        <w:t>：2023年，全县社会消费品零售总额累计完成137.8亿元，同比增长7.5%，高于全国、全省0.3、1.0个百分点，低于全市0.1个百分点，全市第5位。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（三）企业入库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default" w:ascii="楷体" w:hAnsi="楷体" w:eastAsia="楷体" w:cs="楷体"/>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sz w:val="32"/>
          <w:szCs w:val="32"/>
          <w:highlight w:val="none"/>
          <w:u w:val="none"/>
          <w:lang w:val="en-US" w:eastAsia="zh-CN"/>
        </w:rPr>
        <w:t>2023年，全县“四上企业”新增入库78家，全市第1位。其中，工业45家，建筑业7家，批发零售业18家，服务业5家，住宿餐饮业2家，房地产业1家。截止2023年12月,全县在库四上企业409家。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黑体" w:hAnsi="黑体" w:eastAsia="黑体" w:cs="黑体"/>
          <w:b/>
          <w:bCs/>
          <w:i w:val="0"/>
          <w:iCs w:val="0"/>
          <w:caps w:val="0"/>
          <w:color w:val="auto"/>
          <w:spacing w:val="0"/>
          <w:sz w:val="32"/>
          <w:szCs w:val="32"/>
          <w:shd w:val="clear" w:fill="FFFFFF"/>
          <w:vertAlign w:val="baseline"/>
          <w:lang w:val="en-US" w:eastAsia="zh-CN"/>
        </w:rPr>
      </w:pPr>
      <w:r>
        <w:rPr>
          <w:rFonts w:hint="eastAsia" w:ascii="黑体" w:hAnsi="黑体" w:eastAsia="黑体" w:cs="黑体"/>
          <w:b/>
          <w:bCs/>
          <w:i w:val="0"/>
          <w:iCs w:val="0"/>
          <w:caps w:val="0"/>
          <w:color w:val="auto"/>
          <w:spacing w:val="0"/>
          <w:sz w:val="32"/>
          <w:szCs w:val="32"/>
          <w:shd w:val="clear" w:fill="FFFFFF"/>
          <w:vertAlign w:val="baseline"/>
        </w:rPr>
        <w:t>二、</w:t>
      </w:r>
      <w:r>
        <w:rPr>
          <w:rFonts w:hint="eastAsia" w:ascii="黑体" w:hAnsi="黑体" w:eastAsia="黑体" w:cs="黑体"/>
          <w:b/>
          <w:bCs/>
          <w:i w:val="0"/>
          <w:iCs w:val="0"/>
          <w:caps w:val="0"/>
          <w:color w:val="auto"/>
          <w:spacing w:val="0"/>
          <w:sz w:val="32"/>
          <w:szCs w:val="32"/>
          <w:shd w:val="clear" w:fill="FFFFFF"/>
          <w:vertAlign w:val="baseline"/>
          <w:lang w:val="en-US" w:eastAsia="zh-CN"/>
        </w:rPr>
        <w:t>2024年工作打算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（一）抓好一季度“开门红”。</w:t>
      </w:r>
      <w:r>
        <w:rPr>
          <w:rFonts w:hint="eastAsia" w:ascii="仿宋_GB2312" w:hAnsi="仿宋_GB2312" w:eastAsia="仿宋_GB2312" w:cs="仿宋_GB2312"/>
          <w:b/>
          <w:bCs/>
          <w:color w:val="auto"/>
          <w:sz w:val="32"/>
          <w:szCs w:val="32"/>
          <w:highlight w:val="none"/>
          <w:u w:val="none"/>
          <w:lang w:val="en-US" w:eastAsia="zh-CN"/>
        </w:rPr>
        <w:t>一是</w:t>
      </w:r>
      <w:r>
        <w:rPr>
          <w:rFonts w:hint="eastAsia" w:ascii="仿宋_GB2312" w:hAnsi="仿宋_GB2312" w:eastAsia="仿宋_GB2312" w:cs="仿宋_GB2312"/>
          <w:b w:val="0"/>
          <w:bCs w:val="0"/>
          <w:color w:val="auto"/>
          <w:sz w:val="32"/>
          <w:szCs w:val="32"/>
          <w:highlight w:val="none"/>
          <w:u w:val="none"/>
          <w:lang w:val="en-US" w:eastAsia="zh-CN"/>
        </w:rPr>
        <w:t>充分发挥经开区在全县经济发展中的“主战场、主阵地、主引擎”功能作用，深入实施“325”产业计划，做好规上企业数据监测工作，及时了解企业的新动态、新问题，对发现的趋势性、苗头性问题及时做好预警分析。</w:t>
      </w:r>
      <w:r>
        <w:rPr>
          <w:rFonts w:hint="eastAsia" w:ascii="仿宋_GB2312" w:hAnsi="仿宋_GB2312" w:eastAsia="仿宋_GB2312" w:cs="仿宋_GB2312"/>
          <w:b/>
          <w:bCs/>
          <w:color w:val="auto"/>
          <w:sz w:val="32"/>
          <w:szCs w:val="32"/>
          <w:highlight w:val="none"/>
          <w:u w:val="none"/>
          <w:lang w:val="en-US" w:eastAsia="zh-CN"/>
        </w:rPr>
        <w:t>二是</w:t>
      </w:r>
      <w:r>
        <w:rPr>
          <w:rFonts w:hint="eastAsia" w:ascii="仿宋_GB2312" w:hAnsi="仿宋_GB2312" w:eastAsia="仿宋_GB2312" w:cs="仿宋_GB2312"/>
          <w:b w:val="0"/>
          <w:bCs w:val="0"/>
          <w:color w:val="auto"/>
          <w:sz w:val="32"/>
          <w:szCs w:val="32"/>
          <w:highlight w:val="none"/>
          <w:u w:val="none"/>
          <w:lang w:val="en-US" w:eastAsia="zh-CN"/>
        </w:rPr>
        <w:t>部门协同发力，多举措服务保障企业生产经营持续稳定，做好主要经济指标及支撑指标的监测预警。</w:t>
      </w:r>
      <w:r>
        <w:rPr>
          <w:rFonts w:hint="eastAsia" w:ascii="仿宋_GB2312" w:hAnsi="仿宋_GB2312" w:eastAsia="仿宋_GB2312" w:cs="仿宋_GB2312"/>
          <w:b/>
          <w:bCs/>
          <w:color w:val="auto"/>
          <w:sz w:val="32"/>
          <w:szCs w:val="32"/>
          <w:highlight w:val="none"/>
          <w:u w:val="none"/>
          <w:lang w:val="en-US" w:eastAsia="zh-CN"/>
        </w:rPr>
        <w:t>三是</w:t>
      </w:r>
      <w:r>
        <w:rPr>
          <w:rFonts w:hint="eastAsia" w:ascii="仿宋_GB2312" w:hAnsi="仿宋_GB2312" w:eastAsia="仿宋_GB2312" w:cs="仿宋_GB2312"/>
          <w:b w:val="0"/>
          <w:bCs w:val="0"/>
          <w:color w:val="auto"/>
          <w:sz w:val="32"/>
          <w:szCs w:val="32"/>
          <w:highlight w:val="none"/>
          <w:u w:val="none"/>
          <w:lang w:val="en-US" w:eastAsia="zh-CN"/>
        </w:rPr>
        <w:t>组织开展新入库企业统计员业务培训，加强统计调研指导，督促企业高质量完成统计工作，为一季度“开门红”做好基础保障。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CESI仿宋-GB2312" w:hAnsi="CESI仿宋-GB2312" w:eastAsia="CESI仿宋-GB2312" w:cs="CESI仿宋-GB2312"/>
          <w:b w:val="0"/>
          <w:bCs w:val="0"/>
          <w:color w:val="auto"/>
          <w:kern w:val="2"/>
          <w:sz w:val="32"/>
          <w:szCs w:val="32"/>
          <w:highlight w:val="none"/>
          <w:u w:val="none"/>
          <w:lang w:val="en-US" w:eastAsia="zh-CN" w:bidi="ar-SA"/>
        </w:rPr>
      </w:pPr>
      <w:r>
        <w:rPr>
          <w:rFonts w:hint="eastAsia" w:ascii="仿宋" w:hAnsi="仿宋" w:eastAsia="仿宋" w:cs="仿宋"/>
          <w:b/>
          <w:bCs/>
          <w:i w:val="0"/>
          <w:iCs w:val="0"/>
          <w:caps w:val="0"/>
          <w:color w:val="auto"/>
          <w:spacing w:val="0"/>
          <w:sz w:val="32"/>
          <w:szCs w:val="32"/>
          <w:shd w:val="clear" w:fill="FFFFFF"/>
          <w:lang w:val="en-US" w:eastAsia="zh-CN"/>
        </w:rPr>
        <w:t>（二）稳定第一产业基础支撑。</w:t>
      </w:r>
      <w:r>
        <w:rPr>
          <w:rFonts w:hint="eastAsia" w:ascii="CESI仿宋-GB2312" w:hAnsi="CESI仿宋-GB2312" w:eastAsia="CESI仿宋-GB2312" w:cs="CESI仿宋-GB2312"/>
          <w:b/>
          <w:bCs/>
          <w:color w:val="auto"/>
          <w:kern w:val="2"/>
          <w:sz w:val="32"/>
          <w:szCs w:val="32"/>
          <w:highlight w:val="none"/>
          <w:u w:val="none"/>
          <w:lang w:val="en-US" w:eastAsia="zh-CN" w:bidi="ar-SA"/>
        </w:rPr>
        <w:t>一是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抓好粮食安全生产。稳定粮食种植面积，实施高标准农田示范和高质量发展项目，广泛开展高产攻关创建，加强农技推广指导，确保粮食生产安全稳定。</w:t>
      </w:r>
      <w:r>
        <w:rPr>
          <w:rFonts w:hint="eastAsia" w:ascii="CESI仿宋-GB2312" w:hAnsi="CESI仿宋-GB2312" w:eastAsia="CESI仿宋-GB2312" w:cs="CESI仿宋-GB2312"/>
          <w:b/>
          <w:bCs/>
          <w:color w:val="auto"/>
          <w:kern w:val="2"/>
          <w:sz w:val="32"/>
          <w:szCs w:val="32"/>
          <w:highlight w:val="none"/>
          <w:u w:val="none"/>
          <w:lang w:val="en-US" w:eastAsia="zh-CN" w:bidi="ar-SA"/>
        </w:rPr>
        <w:t>二是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推进农业产业融合。充分挖掘粮食、畜禽、怀药、果蔬等特色资源，发挥农业产业化龙头企业带动作用，推进农林牧渔全面协调健康发展。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CESI仿宋-GB2312" w:hAnsi="CESI仿宋-GB2312" w:eastAsia="CESI仿宋-GB2312" w:cs="CESI仿宋-GB2312"/>
          <w:b w:val="0"/>
          <w:bCs w:val="0"/>
          <w:color w:val="auto"/>
          <w:kern w:val="2"/>
          <w:sz w:val="32"/>
          <w:szCs w:val="32"/>
          <w:highlight w:val="none"/>
          <w:u w:val="none"/>
          <w:lang w:val="en-US" w:eastAsia="zh-CN" w:bidi="ar-SA"/>
        </w:rPr>
      </w:pPr>
      <w:r>
        <w:rPr>
          <w:rFonts w:hint="eastAsia" w:ascii="仿宋" w:hAnsi="仿宋" w:eastAsia="仿宋" w:cs="仿宋"/>
          <w:b/>
          <w:bCs/>
          <w:i w:val="0"/>
          <w:iCs w:val="0"/>
          <w:caps w:val="0"/>
          <w:color w:val="auto"/>
          <w:spacing w:val="0"/>
          <w:sz w:val="32"/>
          <w:szCs w:val="32"/>
          <w:shd w:val="clear" w:fill="FFFFFF"/>
          <w:lang w:val="en-US" w:eastAsia="zh-CN"/>
        </w:rPr>
        <w:t>（三）突出第二产业引领带动。</w:t>
      </w:r>
      <w:r>
        <w:rPr>
          <w:rFonts w:hint="eastAsia" w:ascii="CESI仿宋-GB2312" w:hAnsi="CESI仿宋-GB2312" w:eastAsia="CESI仿宋-GB2312" w:cs="CESI仿宋-GB2312"/>
          <w:b/>
          <w:bCs/>
          <w:color w:val="auto"/>
          <w:kern w:val="2"/>
          <w:sz w:val="32"/>
          <w:szCs w:val="32"/>
          <w:highlight w:val="none"/>
          <w:u w:val="none"/>
          <w:lang w:val="en-US" w:eastAsia="zh-CN" w:bidi="ar-SA"/>
        </w:rPr>
        <w:t>一是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增强主导产业带动作用。聚焦装备制造、现代纸品、生物医药三大主导产业赋能升级、实施制造业重点产业链高质量发展行动，实现三大主导产业再提升。</w:t>
      </w:r>
      <w:r>
        <w:rPr>
          <w:rFonts w:hint="eastAsia" w:ascii="CESI仿宋-GB2312" w:hAnsi="CESI仿宋-GB2312" w:eastAsia="CESI仿宋-GB2312" w:cs="CESI仿宋-GB2312"/>
          <w:b/>
          <w:bCs/>
          <w:color w:val="auto"/>
          <w:kern w:val="2"/>
          <w:sz w:val="32"/>
          <w:szCs w:val="32"/>
          <w:highlight w:val="none"/>
          <w:u w:val="none"/>
          <w:lang w:val="en-US" w:eastAsia="zh-CN" w:bidi="ar-SA"/>
        </w:rPr>
        <w:t>二是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壮大规上工业规模总量。加强规上工业企业培育入库，充分发挥规上工业对经济增长的带动作用。</w:t>
      </w:r>
      <w:r>
        <w:rPr>
          <w:rFonts w:hint="eastAsia" w:ascii="CESI仿宋-GB2312" w:hAnsi="CESI仿宋-GB2312" w:eastAsia="CESI仿宋-GB2312" w:cs="CESI仿宋-GB2312"/>
          <w:b/>
          <w:bCs/>
          <w:color w:val="auto"/>
          <w:kern w:val="2"/>
          <w:sz w:val="32"/>
          <w:szCs w:val="32"/>
          <w:highlight w:val="none"/>
          <w:u w:val="none"/>
          <w:lang w:val="en-US" w:eastAsia="zh-CN" w:bidi="ar-SA"/>
        </w:rPr>
        <w:t>三是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推进工业生产高技术、创新型发展。围绕发展战略新兴产业，谋篇布局未来产业，加强新技术、新业态创新应用，充分利用各类有利资源，全力打造战略新兴产业集群。</w:t>
      </w:r>
      <w:r>
        <w:rPr>
          <w:rFonts w:hint="eastAsia" w:ascii="CESI仿宋-GB2312" w:hAnsi="CESI仿宋-GB2312" w:eastAsia="CESI仿宋-GB2312" w:cs="CESI仿宋-GB2312"/>
          <w:b/>
          <w:bCs/>
          <w:color w:val="auto"/>
          <w:kern w:val="2"/>
          <w:sz w:val="32"/>
          <w:szCs w:val="32"/>
          <w:highlight w:val="none"/>
          <w:u w:val="none"/>
          <w:lang w:val="en-US" w:eastAsia="zh-CN" w:bidi="ar-SA"/>
        </w:rPr>
        <w:t>四是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助推主攻方向带动工程。围绕县定汽车零部件制造主攻方向，加大项目谋划，加强院企合作，积极培育发展新动能，着力打造全省重要的新能源及联网汽车研发生产基地和推广应用先行区。</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CESI仿宋-GB2312" w:hAnsi="CESI仿宋-GB2312" w:eastAsia="CESI仿宋-GB2312" w:cs="CESI仿宋-GB2312"/>
          <w:b w:val="0"/>
          <w:bCs w:val="0"/>
          <w:color w:val="auto"/>
          <w:kern w:val="2"/>
          <w:sz w:val="32"/>
          <w:szCs w:val="32"/>
          <w:highlight w:val="none"/>
          <w:u w:val="none"/>
          <w:lang w:val="en-US" w:eastAsia="zh-CN" w:bidi="ar-SA"/>
        </w:rPr>
      </w:pPr>
      <w:r>
        <w:rPr>
          <w:rFonts w:hint="eastAsia" w:ascii="仿宋" w:hAnsi="仿宋" w:eastAsia="仿宋" w:cs="仿宋"/>
          <w:b/>
          <w:bCs/>
          <w:i w:val="0"/>
          <w:iCs w:val="0"/>
          <w:caps w:val="0"/>
          <w:color w:val="auto"/>
          <w:spacing w:val="0"/>
          <w:kern w:val="0"/>
          <w:sz w:val="32"/>
          <w:szCs w:val="32"/>
          <w:shd w:val="clear" w:fill="FFFFFF"/>
          <w:lang w:val="en-US" w:eastAsia="zh-CN" w:bidi="ar"/>
        </w:rPr>
        <w:t>（四）推动第三产业有效提升。</w:t>
      </w:r>
      <w:r>
        <w:rPr>
          <w:rFonts w:hint="eastAsia" w:ascii="CESI仿宋-GB2312" w:hAnsi="CESI仿宋-GB2312" w:eastAsia="CESI仿宋-GB2312" w:cs="CESI仿宋-GB2312"/>
          <w:b/>
          <w:bCs/>
          <w:color w:val="auto"/>
          <w:kern w:val="2"/>
          <w:sz w:val="32"/>
          <w:szCs w:val="32"/>
          <w:highlight w:val="none"/>
          <w:u w:val="none"/>
          <w:lang w:val="en-US" w:eastAsia="zh-CN" w:bidi="ar-SA"/>
        </w:rPr>
        <w:t>一是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推动消费持续扩大。优先恢复和扩大消费，增强消费能力、改善消费条件、创新消费场景。落实上级各项补贴政策，聚焦家电、汽车、家装、商超、家居等领域发放消费劵，引导商贸企业结合自身特点，开展系列促消费活动，进一步激发消费潜能，培育壮大新型消费，稳定和扩大传统消费，推进服务消费品质升级。</w:t>
      </w:r>
      <w:r>
        <w:rPr>
          <w:rFonts w:hint="eastAsia" w:ascii="CESI仿宋-GB2312" w:hAnsi="CESI仿宋-GB2312" w:eastAsia="CESI仿宋-GB2312" w:cs="CESI仿宋-GB2312"/>
          <w:b/>
          <w:bCs/>
          <w:color w:val="auto"/>
          <w:kern w:val="2"/>
          <w:sz w:val="32"/>
          <w:szCs w:val="32"/>
          <w:highlight w:val="none"/>
          <w:u w:val="none"/>
          <w:lang w:val="en-US" w:eastAsia="zh-CN" w:bidi="ar-SA"/>
        </w:rPr>
        <w:t>二是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开展三产提升行动。将“三产富民”放在重要位置，持续推进文旅、商贸、金融和物流提质增效。加快文旅文创融合发展，完善“吃、住、行、旅、购、娱”服务体系，打造文旅市场新热点。</w:t>
      </w:r>
      <w:r>
        <w:rPr>
          <w:rFonts w:hint="eastAsia" w:ascii="CESI仿宋-GB2312" w:hAnsi="CESI仿宋-GB2312" w:eastAsia="CESI仿宋-GB2312" w:cs="CESI仿宋-GB2312"/>
          <w:b/>
          <w:bCs/>
          <w:color w:val="auto"/>
          <w:kern w:val="2"/>
          <w:sz w:val="32"/>
          <w:szCs w:val="32"/>
          <w:highlight w:val="none"/>
          <w:u w:val="none"/>
          <w:lang w:val="en-US" w:eastAsia="zh-CN" w:bidi="ar-SA"/>
        </w:rPr>
        <w:t>三是</w:t>
      </w:r>
      <w:r>
        <w:rPr>
          <w:rFonts w:hint="eastAsia" w:ascii="CESI仿宋-GB2312" w:hAnsi="CESI仿宋-GB2312" w:eastAsia="CESI仿宋-GB2312" w:cs="CESI仿宋-GB2312"/>
          <w:b w:val="0"/>
          <w:bCs w:val="0"/>
          <w:color w:val="auto"/>
          <w:kern w:val="2"/>
          <w:sz w:val="32"/>
          <w:szCs w:val="32"/>
          <w:highlight w:val="none"/>
          <w:u w:val="none"/>
          <w:lang w:val="en-US" w:eastAsia="zh-CN" w:bidi="ar-SA"/>
        </w:rPr>
        <w:t>发展都市服务业。依托荣利达、成汇食品等骨干企业，加强与省科学院、牧业经济学院合作，推进传统食品行业向绿色休闲健康食品转变，着力打造省级休闲食品生产基地。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rPr>
      </w:pPr>
      <w:r>
        <w:rPr>
          <w:rFonts w:hint="eastAsia" w:ascii="仿宋" w:hAnsi="仿宋" w:eastAsia="仿宋" w:cs="仿宋"/>
          <w:b/>
          <w:bCs/>
          <w:i w:val="0"/>
          <w:iCs w:val="0"/>
          <w:caps w:val="0"/>
          <w:color w:val="auto"/>
          <w:spacing w:val="0"/>
          <w:kern w:val="0"/>
          <w:sz w:val="32"/>
          <w:szCs w:val="32"/>
          <w:shd w:val="clear" w:fill="FFFFFF"/>
          <w:lang w:val="en-US" w:eastAsia="zh-CN" w:bidi="ar"/>
        </w:rPr>
        <w:t>（五）增加投资发展新动能。</w:t>
      </w:r>
      <w:r>
        <w:rPr>
          <w:rFonts w:hint="eastAsia" w:ascii="仿宋_GB2312" w:hAnsi="仿宋_GB2312" w:eastAsia="仿宋_GB2312" w:cs="仿宋_GB2312"/>
          <w:b/>
          <w:bCs/>
          <w:i w:val="0"/>
          <w:iCs w:val="0"/>
          <w:caps w:val="0"/>
          <w:color w:val="auto"/>
          <w:spacing w:val="0"/>
          <w:sz w:val="32"/>
          <w:szCs w:val="32"/>
          <w:highlight w:val="none"/>
          <w:shd w:val="clear" w:fill="FFFFFF"/>
          <w:vertAlign w:val="baseline"/>
        </w:rPr>
        <w:t>一是</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rPr>
        <w:t>在库项目和储备项目两手抓。以近两年新增入库项目为抓手，保障项目实施进度，提高建安工程投资力度。</w:t>
      </w:r>
      <w:r>
        <w:rPr>
          <w:rFonts w:hint="eastAsia" w:ascii="仿宋_GB2312" w:hAnsi="仿宋_GB2312" w:eastAsia="仿宋_GB2312" w:cs="仿宋_GB2312"/>
          <w:b/>
          <w:bCs/>
          <w:i w:val="0"/>
          <w:iCs w:val="0"/>
          <w:caps w:val="0"/>
          <w:color w:val="auto"/>
          <w:spacing w:val="0"/>
          <w:sz w:val="32"/>
          <w:szCs w:val="32"/>
          <w:highlight w:val="none"/>
          <w:shd w:val="clear" w:fill="FFFFFF"/>
          <w:vertAlign w:val="baseline"/>
          <w:lang w:val="en-US" w:eastAsia="zh-CN"/>
        </w:rPr>
        <w:t>二是</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rPr>
        <w:t>加大招商引资力度</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lang w:eastAsia="zh-CN"/>
        </w:rPr>
        <w:t>。</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rPr>
        <w:t>充实储备项目，使储备项目转化为落地项目，为在库项目提供新</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lang w:val="en-US" w:eastAsia="zh-CN"/>
        </w:rPr>
        <w:t>鲜</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rPr>
        <w:t>血液。</w:t>
      </w:r>
      <w:r>
        <w:rPr>
          <w:rFonts w:hint="eastAsia" w:ascii="仿宋_GB2312" w:hAnsi="仿宋_GB2312" w:eastAsia="仿宋_GB2312" w:cs="仿宋_GB2312"/>
          <w:b/>
          <w:bCs/>
          <w:i w:val="0"/>
          <w:iCs w:val="0"/>
          <w:caps w:val="0"/>
          <w:color w:val="auto"/>
          <w:spacing w:val="0"/>
          <w:sz w:val="32"/>
          <w:szCs w:val="32"/>
          <w:highlight w:val="none"/>
          <w:shd w:val="clear" w:fill="FFFFFF"/>
          <w:vertAlign w:val="baseline"/>
          <w:lang w:val="en-US" w:eastAsia="zh-CN"/>
        </w:rPr>
        <w:t>三</w:t>
      </w:r>
      <w:r>
        <w:rPr>
          <w:rFonts w:hint="eastAsia" w:ascii="仿宋_GB2312" w:hAnsi="仿宋_GB2312" w:eastAsia="仿宋_GB2312" w:cs="仿宋_GB2312"/>
          <w:b/>
          <w:bCs/>
          <w:i w:val="0"/>
          <w:iCs w:val="0"/>
          <w:caps w:val="0"/>
          <w:color w:val="auto"/>
          <w:spacing w:val="0"/>
          <w:sz w:val="32"/>
          <w:szCs w:val="32"/>
          <w:highlight w:val="none"/>
          <w:shd w:val="clear" w:fill="FFFFFF"/>
          <w:vertAlign w:val="baseline"/>
        </w:rPr>
        <w:t>是</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lang w:val="en-US" w:eastAsia="zh-CN"/>
        </w:rPr>
        <w:t>关注重点指标涉及项目</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rPr>
        <w:t>。加强对工业投资、技改投资、亿元以上新开工产业项目、新开工文旅项目完成情况的监测，相关行业主管部门要加强督导协调</w:t>
      </w:r>
      <w:r>
        <w:rPr>
          <w:rFonts w:hint="eastAsia" w:ascii="仿宋_GB2312" w:hAnsi="仿宋_GB2312" w:eastAsia="仿宋_GB2312" w:cs="仿宋_GB2312"/>
          <w:b w:val="0"/>
          <w:bCs w:val="0"/>
          <w:i w:val="0"/>
          <w:iCs w:val="0"/>
          <w:caps w:val="0"/>
          <w:color w:val="auto"/>
          <w:spacing w:val="0"/>
          <w:sz w:val="32"/>
          <w:szCs w:val="32"/>
          <w:highlight w:val="none"/>
          <w:shd w:val="clear" w:fill="FFFFFF"/>
          <w:vertAlign w:val="baseli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rPr>
        <w:t>特别是工业技改投资项目，要提前谋划，督促</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lang w:eastAsia="zh-CN"/>
        </w:rPr>
        <w:t>指导</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rPr>
        <w:t>企业备案</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lang w:val="en-US" w:eastAsia="zh-CN"/>
        </w:rPr>
        <w:t>时</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rPr>
        <w:t>，</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lang w:val="en-US" w:eastAsia="zh-CN"/>
        </w:rPr>
        <w:t>按工业技改投资项目进行，确保数据汇总到工业技改投资</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vertAlign w:val="baseli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 w:hAnsi="仿宋" w:eastAsia="仿宋" w:cs="仿宋"/>
          <w:b/>
          <w:bCs/>
          <w:i w:val="0"/>
          <w:iCs w:val="0"/>
          <w:caps w:val="0"/>
          <w:color w:val="auto"/>
          <w:spacing w:val="0"/>
          <w:kern w:val="0"/>
          <w:sz w:val="32"/>
          <w:szCs w:val="32"/>
          <w:shd w:val="clear" w:fill="FFFFFF"/>
          <w:lang w:val="en-US" w:eastAsia="zh-CN" w:bidi="ar"/>
        </w:rPr>
        <w:t>（六）全力做好“五经普”登记。</w:t>
      </w:r>
      <w:r>
        <w:rPr>
          <w:rFonts w:hint="eastAsia" w:ascii="仿宋_GB2312" w:hAnsi="仿宋_GB2312" w:eastAsia="仿宋_GB2312" w:cs="仿宋_GB2312"/>
          <w:b w:val="0"/>
          <w:bCs w:val="0"/>
          <w:color w:val="auto"/>
          <w:sz w:val="32"/>
          <w:szCs w:val="32"/>
          <w:highlight w:val="none"/>
          <w:u w:val="none"/>
          <w:lang w:val="en-US" w:eastAsia="zh-CN"/>
        </w:rPr>
        <w:t>在普查登记阶段(2024年1月—3月），联合各乡镇（办事处）、教育、卫生、编办、经开区等部门，分行业、分片区有针对性的开展普查登记业务培训、督促和指导，认真安排部署普查入户登记，组织各专业科室对上报的各项指标数据及时审核把关，随报随审、及时纠错，确保经济普查数据质量，真实准确反映全县经济结构状况，为未来5年经济社会发展奠定坚实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both"/>
        <w:textAlignment w:val="baseline"/>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 w:hAnsi="仿宋" w:eastAsia="仿宋" w:cs="仿宋"/>
          <w:b/>
          <w:bCs/>
          <w:i w:val="0"/>
          <w:iCs w:val="0"/>
          <w:caps w:val="0"/>
          <w:color w:val="auto"/>
          <w:spacing w:val="0"/>
          <w:kern w:val="0"/>
          <w:sz w:val="32"/>
          <w:szCs w:val="32"/>
          <w:shd w:val="clear" w:fill="FFFFFF"/>
          <w:lang w:val="en-US" w:eastAsia="zh-CN" w:bidi="ar"/>
        </w:rPr>
        <w:t>（七）加强统计法治宣传教育。</w:t>
      </w:r>
      <w:r>
        <w:rPr>
          <w:rFonts w:hint="default" w:ascii="仿宋_GB2312" w:hAnsi="仿宋_GB2312" w:eastAsia="仿宋_GB2312" w:cs="仿宋_GB2312"/>
          <w:b w:val="0"/>
          <w:bCs w:val="0"/>
          <w:color w:val="auto"/>
          <w:sz w:val="32"/>
          <w:szCs w:val="32"/>
          <w:highlight w:val="none"/>
          <w:u w:val="none"/>
          <w:lang w:val="en-US" w:eastAsia="zh-CN"/>
        </w:rPr>
        <w:t>将统计法治宣传教育与“五经普”、统计业务培训相结合，通过集中宣传、入户走访、执法检查、</w:t>
      </w:r>
      <w:r>
        <w:rPr>
          <w:rFonts w:hint="eastAsia" w:ascii="仿宋_GB2312" w:hAnsi="仿宋_GB2312" w:eastAsia="仿宋_GB2312" w:cs="仿宋_GB2312"/>
          <w:b w:val="0"/>
          <w:bCs w:val="0"/>
          <w:color w:val="auto"/>
          <w:sz w:val="32"/>
          <w:szCs w:val="32"/>
          <w:highlight w:val="none"/>
          <w:u w:val="none"/>
          <w:lang w:val="en-US" w:eastAsia="zh-CN"/>
        </w:rPr>
        <w:t>警示教育</w:t>
      </w:r>
      <w:r>
        <w:rPr>
          <w:rFonts w:hint="default" w:ascii="仿宋_GB2312" w:hAnsi="仿宋_GB2312" w:eastAsia="仿宋_GB2312" w:cs="仿宋_GB2312"/>
          <w:b w:val="0"/>
          <w:bCs w:val="0"/>
          <w:color w:val="auto"/>
          <w:sz w:val="32"/>
          <w:szCs w:val="32"/>
          <w:highlight w:val="none"/>
          <w:u w:val="none"/>
          <w:lang w:val="en-US" w:eastAsia="zh-CN"/>
        </w:rPr>
        <w:t>等方式，坚持将统计普法融入辅调员培训、入户核查、执法检查等工作中，告知企业作为调查对象享有的权利、应尽的义务和相应的法律责任，切实增强调查对象统计法治意识，明白瞒报、漏报统计数据和虚报</w:t>
      </w:r>
      <w:r>
        <w:rPr>
          <w:rFonts w:hint="eastAsia" w:ascii="仿宋_GB2312" w:hAnsi="仿宋_GB2312" w:eastAsia="仿宋_GB2312" w:cs="仿宋_GB2312"/>
          <w:b w:val="0"/>
          <w:bCs w:val="0"/>
          <w:color w:val="auto"/>
          <w:sz w:val="32"/>
          <w:szCs w:val="32"/>
          <w:highlight w:val="none"/>
          <w:u w:val="none"/>
          <w:lang w:val="en-US" w:eastAsia="zh-CN"/>
        </w:rPr>
        <w:t>、错报</w:t>
      </w:r>
      <w:r>
        <w:rPr>
          <w:rFonts w:hint="default" w:ascii="仿宋_GB2312" w:hAnsi="仿宋_GB2312" w:eastAsia="仿宋_GB2312" w:cs="仿宋_GB2312"/>
          <w:b w:val="0"/>
          <w:bCs w:val="0"/>
          <w:color w:val="auto"/>
          <w:sz w:val="32"/>
          <w:szCs w:val="32"/>
          <w:highlight w:val="none"/>
          <w:u w:val="none"/>
          <w:lang w:val="en-US" w:eastAsia="zh-CN"/>
        </w:rPr>
        <w:t>，都属于统计违法行为，同样应当承担法律责任，不断增强调查对象统计工作的自觉性、主动性和责任心，进一步提高统计数据质量。</w:t>
      </w:r>
    </w:p>
    <w:p>
      <w:pPr>
        <w:keepNext w:val="0"/>
        <w:keepLines w:val="0"/>
        <w:pageBreakBefore w:val="0"/>
        <w:kinsoku/>
        <w:wordWrap/>
        <w:overflowPunct/>
        <w:topLinePunct w:val="0"/>
        <w:autoSpaceDE/>
        <w:autoSpaceDN/>
        <w:bidi w:val="0"/>
        <w:adjustRightInd/>
        <w:snapToGrid/>
        <w:spacing w:line="540" w:lineRule="exact"/>
        <w:rPr>
          <w:color w:val="auto"/>
        </w:rPr>
      </w:pPr>
    </w:p>
    <w:sectPr>
      <w:footerReference r:id="rId3" w:type="default"/>
      <w:pgSz w:w="11906" w:h="16838"/>
      <w:pgMar w:top="1984" w:right="1247" w:bottom="1814" w:left="1587" w:header="851" w:footer="1134"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36"/>
                            </w:rPr>
                          </w:pPr>
                          <w:r>
                            <w:rPr>
                              <w:sz w:val="22"/>
                              <w:szCs w:val="36"/>
                            </w:rP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36"/>
                      </w:rPr>
                    </w:pPr>
                    <w:r>
                      <w:rPr>
                        <w:sz w:val="22"/>
                        <w:szCs w:val="36"/>
                      </w:rP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ZTJiZTEwMjcyYWYxZDA4NTM2MDY4ZDQ1N2M4NDYifQ=="/>
    <w:docVar w:name="KSO_WPS_MARK_KEY" w:val="c34b9b3c-f54a-4ecf-a03f-cc131e3f5768"/>
  </w:docVars>
  <w:rsids>
    <w:rsidRoot w:val="07115024"/>
    <w:rsid w:val="003D0404"/>
    <w:rsid w:val="03912F41"/>
    <w:rsid w:val="03CF5817"/>
    <w:rsid w:val="05AA2098"/>
    <w:rsid w:val="07115024"/>
    <w:rsid w:val="07AD37EA"/>
    <w:rsid w:val="088E7A4F"/>
    <w:rsid w:val="0AF3628F"/>
    <w:rsid w:val="0B3F14D4"/>
    <w:rsid w:val="0BB21CA6"/>
    <w:rsid w:val="0D8A72C0"/>
    <w:rsid w:val="0D8E04F1"/>
    <w:rsid w:val="0E96765D"/>
    <w:rsid w:val="0ECE329B"/>
    <w:rsid w:val="0EF26C14"/>
    <w:rsid w:val="10FD1C16"/>
    <w:rsid w:val="11D861DF"/>
    <w:rsid w:val="146051C4"/>
    <w:rsid w:val="151B6B0E"/>
    <w:rsid w:val="15A364C0"/>
    <w:rsid w:val="16EA49EA"/>
    <w:rsid w:val="183D6D9C"/>
    <w:rsid w:val="1A963160"/>
    <w:rsid w:val="1CEF5BC0"/>
    <w:rsid w:val="1D666D95"/>
    <w:rsid w:val="1E312EFF"/>
    <w:rsid w:val="212C0539"/>
    <w:rsid w:val="220A4192"/>
    <w:rsid w:val="23E12CD1"/>
    <w:rsid w:val="247B4ED4"/>
    <w:rsid w:val="255676EF"/>
    <w:rsid w:val="25C97EC1"/>
    <w:rsid w:val="26057F57"/>
    <w:rsid w:val="27225ADA"/>
    <w:rsid w:val="27960276"/>
    <w:rsid w:val="27D50D9F"/>
    <w:rsid w:val="282E50F6"/>
    <w:rsid w:val="2A7E571E"/>
    <w:rsid w:val="2A9A007E"/>
    <w:rsid w:val="2BD1187D"/>
    <w:rsid w:val="2CED6A01"/>
    <w:rsid w:val="307B59E5"/>
    <w:rsid w:val="315471D8"/>
    <w:rsid w:val="32360ADB"/>
    <w:rsid w:val="32A001FB"/>
    <w:rsid w:val="33DE0FDB"/>
    <w:rsid w:val="34270BD4"/>
    <w:rsid w:val="34572B3B"/>
    <w:rsid w:val="36BD137C"/>
    <w:rsid w:val="37505504"/>
    <w:rsid w:val="39842625"/>
    <w:rsid w:val="39FF7EFD"/>
    <w:rsid w:val="3A8D72B7"/>
    <w:rsid w:val="3ED01E68"/>
    <w:rsid w:val="3ED7445C"/>
    <w:rsid w:val="3F5465B3"/>
    <w:rsid w:val="3F8D6525"/>
    <w:rsid w:val="3FDE6107"/>
    <w:rsid w:val="40330146"/>
    <w:rsid w:val="405E3BCF"/>
    <w:rsid w:val="405F554E"/>
    <w:rsid w:val="406D3E12"/>
    <w:rsid w:val="412F0F7D"/>
    <w:rsid w:val="43B9736F"/>
    <w:rsid w:val="4BD034A7"/>
    <w:rsid w:val="4DB0533F"/>
    <w:rsid w:val="4F1813ED"/>
    <w:rsid w:val="4F744810"/>
    <w:rsid w:val="4FDD43E5"/>
    <w:rsid w:val="50033E4B"/>
    <w:rsid w:val="513E0EB3"/>
    <w:rsid w:val="51ED6B61"/>
    <w:rsid w:val="527032EE"/>
    <w:rsid w:val="52B551A5"/>
    <w:rsid w:val="52FE4D9E"/>
    <w:rsid w:val="534A1D91"/>
    <w:rsid w:val="537A2677"/>
    <w:rsid w:val="560E731B"/>
    <w:rsid w:val="566E3FE9"/>
    <w:rsid w:val="59E22D24"/>
    <w:rsid w:val="59FE7432"/>
    <w:rsid w:val="5AD76600"/>
    <w:rsid w:val="5B525C87"/>
    <w:rsid w:val="5C89392A"/>
    <w:rsid w:val="5C91458D"/>
    <w:rsid w:val="5CE44E7B"/>
    <w:rsid w:val="5D852344"/>
    <w:rsid w:val="5DD46E27"/>
    <w:rsid w:val="5E4C4C10"/>
    <w:rsid w:val="6056529D"/>
    <w:rsid w:val="60822B6A"/>
    <w:rsid w:val="61990DB4"/>
    <w:rsid w:val="63626C83"/>
    <w:rsid w:val="644C3BBB"/>
    <w:rsid w:val="656960A7"/>
    <w:rsid w:val="66546D57"/>
    <w:rsid w:val="665A00E6"/>
    <w:rsid w:val="668A1F92"/>
    <w:rsid w:val="67860E67"/>
    <w:rsid w:val="67F02AB0"/>
    <w:rsid w:val="6885769C"/>
    <w:rsid w:val="69B20CAD"/>
    <w:rsid w:val="69CA7330"/>
    <w:rsid w:val="6CF44DF0"/>
    <w:rsid w:val="6EFE2F7A"/>
    <w:rsid w:val="7003534A"/>
    <w:rsid w:val="72677E12"/>
    <w:rsid w:val="730C532F"/>
    <w:rsid w:val="76F1414E"/>
    <w:rsid w:val="77514BED"/>
    <w:rsid w:val="788142E9"/>
    <w:rsid w:val="78EF63F8"/>
    <w:rsid w:val="794464E0"/>
    <w:rsid w:val="79865022"/>
    <w:rsid w:val="79C674FC"/>
    <w:rsid w:val="79CE4C1B"/>
    <w:rsid w:val="79EE406A"/>
    <w:rsid w:val="7A5F1157"/>
    <w:rsid w:val="7E0B01EB"/>
    <w:rsid w:val="7E2B7C12"/>
    <w:rsid w:val="BFEF144D"/>
    <w:rsid w:val="FFDF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Body Text First Indent 21"/>
    <w:basedOn w:val="10"/>
    <w:qFormat/>
    <w:uiPriority w:val="0"/>
    <w:pPr>
      <w:ind w:firstLine="420" w:firstLineChars="200"/>
    </w:pPr>
    <w:rPr>
      <w:rFonts w:ascii="Times New Roman" w:hAnsi="Times New Roman"/>
      <w:szCs w:val="24"/>
    </w:rPr>
  </w:style>
  <w:style w:type="paragraph" w:customStyle="1" w:styleId="10">
    <w:name w:val="Body Text Indent1"/>
    <w:basedOn w:val="1"/>
    <w:qFormat/>
    <w:uiPriority w:val="0"/>
    <w:pPr>
      <w:spacing w:after="120" w:afterLines="0"/>
      <w:ind w:left="420" w:leftChars="200"/>
    </w:pPr>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4532</Words>
  <Characters>5208</Characters>
  <Lines>0</Lines>
  <Paragraphs>0</Paragraphs>
  <TotalTime>46</TotalTime>
  <ScaleCrop>false</ScaleCrop>
  <LinksUpToDate>false</LinksUpToDate>
  <CharactersWithSpaces>5212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2023-11-30T11:17:00Z</dcterms:created>
  <dc:creator>赫萝</dc:creator>
  <cp:lastModifiedBy>宋二</cp:lastModifiedBy>
  <cp:lastPrinted>2024-02-04T08:36:00Z</cp:lastPrinted>
  <dcterms:modified xsi:type="dcterms:W3CDTF">2024-02-27T07:24:22Z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09B408BC66E9419FBB3BB2CF4E165191_13</vt:lpwstr>
  </property>
</Properties>
</file>